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30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вересня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2017 р.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розпочинається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голосування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громадські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Загалом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по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Голосіївському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району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було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подано </w:t>
      </w:r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81 проект</w:t>
      </w: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них: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-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успішно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пройшли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розгляд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отримали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позитивний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висновок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щодо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прийняття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проекту до голосування-34;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-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пройшли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розгляд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отримали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негативний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висновок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щодо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прийняття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проекту до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голосування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19;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- не набрали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необхідну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кількість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ідтримки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16;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-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видалені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авторами – 12.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Проголосувати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можна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буде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30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вересня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тут: </w:t>
      </w:r>
      <w:hyperlink r:id="rId5" w:history="1">
        <w:r w:rsidRPr="00570597">
          <w:rPr>
            <w:rFonts w:ascii="Calibri" w:eastAsia="Times New Roman" w:hAnsi="Calibri" w:cs="Calibri"/>
            <w:color w:val="1E9CDB"/>
            <w:sz w:val="28"/>
            <w:u w:val="single"/>
            <w:lang w:eastAsia="ru-RU"/>
          </w:rPr>
          <w:t>https://gb.kyivcity.gov.ua/</w:t>
        </w:r>
      </w:hyperlink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 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</w:p>
    <w:p w:rsidR="00570597" w:rsidRPr="00570597" w:rsidRDefault="00570597" w:rsidP="00570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Положення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 xml:space="preserve"> про 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громадський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 xml:space="preserve"> бюджет 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м</w:t>
      </w:r>
      <w:proofErr w:type="gram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.К</w:t>
      </w:r>
      <w:proofErr w:type="gram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иєва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 xml:space="preserve"> (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fldChar w:fldCharType="begin"/>
      </w:r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instrText xml:space="preserve"> HYPERLINK "http://golos.kievcity.gov.ua/files/2017/6/15/polog.pdf" \t "_blank" </w:instrText>
      </w:r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fldChar w:fldCharType="separate"/>
      </w:r>
      <w:r w:rsidRPr="00570597">
        <w:rPr>
          <w:rFonts w:ascii="Calibri" w:eastAsia="Times New Roman" w:hAnsi="Calibri" w:cs="Calibri"/>
          <w:b/>
          <w:bCs/>
          <w:color w:val="1E9CDB"/>
          <w:sz w:val="28"/>
          <w:u w:val="single"/>
          <w:lang w:eastAsia="ru-RU"/>
        </w:rPr>
        <w:t>завантажити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fldChar w:fldCharType="end"/>
      </w:r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)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</w:p>
    <w:p w:rsidR="00570597" w:rsidRPr="00570597" w:rsidRDefault="00570597" w:rsidP="005705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Параметри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громадського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 xml:space="preserve"> бюджету на 2018 </w:t>
      </w:r>
      <w:proofErr w:type="spellStart"/>
      <w:proofErr w:type="gramStart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ік</w:t>
      </w:r>
      <w:proofErr w:type="spellEnd"/>
      <w:r w:rsidRPr="00570597">
        <w:rPr>
          <w:rFonts w:ascii="Calibri" w:eastAsia="Times New Roman" w:hAnsi="Calibri" w:cs="Calibri"/>
          <w:b/>
          <w:bCs/>
          <w:color w:val="303030"/>
          <w:sz w:val="28"/>
          <w:lang w:eastAsia="ru-RU"/>
        </w:rPr>
        <w:t> </w:t>
      </w: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(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згідно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додатком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рішення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Київської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міської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ради «Про бюджет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міста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на 2017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рік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»):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1.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Загальний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обсяг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видатків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на 2018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,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що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планується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спрямувати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реалізацію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: 100000,0 тис.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, в т.ч. 20000,0 тис.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на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реалізацію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малих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, 80000,0 тис.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на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реалізацію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великих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2.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Кількість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ідримки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,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що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має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набрати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 для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подачі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його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експертизу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(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крім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підпису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автора проекту):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малі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50;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великі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 - 200.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3.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Мінімальна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кількість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голосі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проект,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яких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визначаються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переможці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малі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400;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великі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1000.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lastRenderedPageBreak/>
        <w:t xml:space="preserve">4.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Максимальна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тривалість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проекту: 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1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січня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по 31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грудня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2018 року.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5.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Максимальна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вартість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проекту: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малого – 400,0 тис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великого – 2000,0 тис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6.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Категорії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</w:t>
      </w:r>
    </w:p>
    <w:tbl>
      <w:tblPr>
        <w:tblW w:w="13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0"/>
        <w:gridCol w:w="6250"/>
      </w:tblGrid>
      <w:tr w:rsidR="00570597" w:rsidRPr="00570597" w:rsidTr="0057059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Безпека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порядок</w:t>
            </w:r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Дорожньо-транспортна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інфраструктура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Енергозбереження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Комунальне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господарство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  Культура та туризм</w:t>
            </w:r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Навколишнє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середовище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Громадянське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суспільство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Освіта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Охорона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здоров'я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Соц</w:t>
            </w:r>
            <w:proofErr w:type="gram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іальний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захист</w:t>
            </w:r>
            <w:proofErr w:type="spellEnd"/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  Спорт</w:t>
            </w:r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Телекомунікації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зв’язок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 </w:t>
            </w:r>
          </w:p>
          <w:p w:rsidR="00570597" w:rsidRPr="00570597" w:rsidRDefault="00570597" w:rsidP="00570597">
            <w:pPr>
              <w:spacing w:before="240" w:after="0" w:line="320" w:lineRule="atLeast"/>
              <w:ind w:left="160" w:right="160"/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</w:pPr>
            <w:r w:rsidRPr="00570597">
              <w:rPr>
                <w:rFonts w:ascii="MS Gothic" w:eastAsia="MS Gothic" w:hAnsi="MS Gothic" w:cs="MS Gothic"/>
                <w:color w:val="303030"/>
                <w:sz w:val="28"/>
                <w:szCs w:val="28"/>
                <w:lang w:eastAsia="ru-RU"/>
              </w:rPr>
              <w:t>☐</w:t>
            </w:r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70597">
              <w:rPr>
                <w:rFonts w:ascii="Calibri" w:eastAsia="Times New Roman" w:hAnsi="Calibri" w:cs="Calibri"/>
                <w:color w:val="303030"/>
                <w:sz w:val="28"/>
                <w:szCs w:val="28"/>
                <w:lang w:eastAsia="ru-RU"/>
              </w:rPr>
              <w:t>Інше</w:t>
            </w:r>
            <w:proofErr w:type="spellEnd"/>
          </w:p>
        </w:tc>
      </w:tr>
    </w:tbl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Кількість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робочих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груп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: 1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міська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робоча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група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та по 1-й у кожному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районі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міста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  <w:proofErr w:type="gramEnd"/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8.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Кількість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пунктів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супроводу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громадського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бюджету та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їх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територіальний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поділ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10 од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о 1 у кожному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районів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міста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9.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Календарний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план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впровадження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етапів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громадського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бюджету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іста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1)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створення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громадської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бюджетної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комісії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01.06.2017 – 30.06.2017;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2)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подання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   01.06.2017 - 15.07.2017;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3)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публікація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електронній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систем: 01.06.2017 – 18.07.2017;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4)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збі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spellEnd"/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підтримки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01.06.2017 – 07.08.2017;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5)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проведення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публічного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обговорення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30.06.2017 – 14.09.2017;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6)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експертиза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доопрацювання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01.06.2017 – 14.09.2017;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7)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ознайомлення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проектами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прийнятими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голосування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25.09.2017-29.09.2017;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lastRenderedPageBreak/>
        <w:t xml:space="preserve">    8)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голосування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30.09.2017 - 30.10.2017;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9)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ішення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проекти-переможці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визначення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відповідальних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їх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реалізацію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01.11.2017 – 09.11.2017;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10)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проектів-переможців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: 2018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    11)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звітування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оцінка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результатів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реалізації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проектів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: 2018рі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10.  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Прогнозні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обсяги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громадського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бюджету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міста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Києва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на 2019 – 2020 роки </w:t>
      </w:r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у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сумах: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2019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120000,0  тис.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;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2020 </w:t>
      </w:r>
      <w:proofErr w:type="spellStart"/>
      <w:proofErr w:type="gram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р</w:t>
      </w:r>
      <w:proofErr w:type="gram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ік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 xml:space="preserve"> – 150000,0 тис. </w:t>
      </w:r>
      <w:proofErr w:type="spellStart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грн</w:t>
      </w:r>
      <w:proofErr w:type="spellEnd"/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.</w:t>
      </w:r>
    </w:p>
    <w:p w:rsidR="00570597" w:rsidRPr="00570597" w:rsidRDefault="00570597" w:rsidP="00570597">
      <w:pPr>
        <w:spacing w:before="240" w:after="0" w:line="240" w:lineRule="auto"/>
        <w:rPr>
          <w:rFonts w:ascii="Calibri" w:eastAsia="Times New Roman" w:hAnsi="Calibri" w:cs="Calibri"/>
          <w:color w:val="303030"/>
          <w:sz w:val="28"/>
          <w:szCs w:val="28"/>
          <w:lang w:eastAsia="ru-RU"/>
        </w:rPr>
      </w:pPr>
      <w:r w:rsidRPr="00570597">
        <w:rPr>
          <w:rFonts w:ascii="Calibri" w:eastAsia="Times New Roman" w:hAnsi="Calibri" w:cs="Calibri"/>
          <w:color w:val="303030"/>
          <w:sz w:val="28"/>
          <w:szCs w:val="28"/>
          <w:lang w:eastAsia="ru-RU"/>
        </w:rPr>
        <w:t> </w:t>
      </w:r>
    </w:p>
    <w:p w:rsidR="00891C40" w:rsidRDefault="00891C40"/>
    <w:sectPr w:rsidR="00891C40" w:rsidSect="00570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9A3"/>
    <w:multiLevelType w:val="multilevel"/>
    <w:tmpl w:val="E6D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31984"/>
    <w:multiLevelType w:val="multilevel"/>
    <w:tmpl w:val="1B7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597"/>
    <w:rsid w:val="00567210"/>
    <w:rsid w:val="00570597"/>
    <w:rsid w:val="00891C40"/>
    <w:rsid w:val="00CA42AB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597"/>
    <w:rPr>
      <w:b/>
      <w:bCs/>
    </w:rPr>
  </w:style>
  <w:style w:type="character" w:styleId="a5">
    <w:name w:val="Hyperlink"/>
    <w:basedOn w:val="a0"/>
    <w:uiPriority w:val="99"/>
    <w:semiHidden/>
    <w:unhideWhenUsed/>
    <w:rsid w:val="00570597"/>
    <w:rPr>
      <w:color w:val="0000FF"/>
      <w:u w:val="single"/>
    </w:rPr>
  </w:style>
  <w:style w:type="paragraph" w:customStyle="1" w:styleId="listparagraph">
    <w:name w:val="listparagraph"/>
    <w:basedOn w:val="a"/>
    <w:rsid w:val="005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.kyivcity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eCHTE</dc:creator>
  <cp:lastModifiedBy>eCHTE</cp:lastModifiedBy>
  <cp:revision>1</cp:revision>
  <dcterms:created xsi:type="dcterms:W3CDTF">2017-10-04T14:01:00Z</dcterms:created>
  <dcterms:modified xsi:type="dcterms:W3CDTF">2017-10-04T14:02:00Z</dcterms:modified>
</cp:coreProperties>
</file>